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5F" w:rsidRPr="00BC46AB" w:rsidRDefault="00BC46AB">
      <w:pPr>
        <w:rPr>
          <w:b/>
        </w:rPr>
      </w:pPr>
      <w:bookmarkStart w:id="0" w:name="_GoBack"/>
      <w:bookmarkEnd w:id="0"/>
      <w:r w:rsidRPr="00BC46AB">
        <w:rPr>
          <w:b/>
        </w:rPr>
        <w:t xml:space="preserve">Name: </w:t>
      </w:r>
      <w:r w:rsidRPr="00BC46AB">
        <w:rPr>
          <w:b/>
        </w:rPr>
        <w:tab/>
      </w:r>
      <w:r w:rsidRPr="00BC46AB">
        <w:rPr>
          <w:b/>
        </w:rPr>
        <w:tab/>
      </w:r>
      <w:r w:rsidRPr="00BC46AB">
        <w:rPr>
          <w:b/>
        </w:rPr>
        <w:tab/>
      </w:r>
      <w:r w:rsidRPr="00BC46AB">
        <w:rPr>
          <w:b/>
        </w:rPr>
        <w:tab/>
      </w:r>
      <w:r w:rsidRPr="00BC46AB">
        <w:rPr>
          <w:b/>
        </w:rPr>
        <w:tab/>
      </w:r>
      <w:r w:rsidRPr="00BC46AB">
        <w:rPr>
          <w:b/>
        </w:rPr>
        <w:tab/>
      </w:r>
      <w:r w:rsidRPr="00BC46AB">
        <w:rPr>
          <w:b/>
        </w:rPr>
        <w:tab/>
      </w:r>
      <w:r w:rsidRPr="00BC46AB">
        <w:rPr>
          <w:b/>
        </w:rPr>
        <w:tab/>
      </w:r>
      <w:r w:rsidRPr="00BC46AB">
        <w:rPr>
          <w:b/>
        </w:rPr>
        <w:tab/>
      </w:r>
      <w:r w:rsidRPr="00BC46AB">
        <w:rPr>
          <w:b/>
        </w:rPr>
        <w:tab/>
        <w:t>Class Period:</w:t>
      </w:r>
    </w:p>
    <w:p w:rsidR="00BC46AB" w:rsidRDefault="00BC46AB" w:rsidP="004162AD">
      <w:pPr>
        <w:spacing w:after="0" w:line="240" w:lineRule="auto"/>
      </w:pPr>
      <w:r>
        <w:t>Mental, Emotional, and Social Health Unit Organizer</w:t>
      </w:r>
      <w:r w:rsidR="00FA5E9F">
        <w:t>: Three mini-units with article response and textbook activity guide (TAG)</w:t>
      </w:r>
      <w:r w:rsidR="00F43EC2">
        <w:t xml:space="preserve"> culminating in a Problem-Solution </w:t>
      </w:r>
      <w:r w:rsidR="004162AD">
        <w:t>Pamphlet</w:t>
      </w:r>
      <w:r w:rsidR="00B85586">
        <w:t xml:space="preserve"> using at least three</w:t>
      </w:r>
      <w:r w:rsidR="00F43EC2">
        <w:t xml:space="preserve"> sources, one of them your Health Book. The other</w:t>
      </w:r>
      <w:r w:rsidR="00B85586">
        <w:t xml:space="preserve"> two</w:t>
      </w:r>
      <w:r w:rsidR="00F43EC2">
        <w:t xml:space="preserve"> can be one of the class articles or a source that you locate and cite yourself, if you wish.</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9720"/>
      </w:tblGrid>
      <w:tr w:rsidR="008B70BD" w:rsidTr="0045599F">
        <w:trPr>
          <w:trHeight w:val="323"/>
        </w:trPr>
        <w:tc>
          <w:tcPr>
            <w:tcW w:w="4365" w:type="dxa"/>
          </w:tcPr>
          <w:p w:rsidR="008B70BD" w:rsidRPr="00FA5E9F" w:rsidRDefault="008B70BD" w:rsidP="004162AD">
            <w:pPr>
              <w:spacing w:after="0" w:line="240" w:lineRule="auto"/>
              <w:rPr>
                <w:b/>
              </w:rPr>
            </w:pPr>
            <w:r w:rsidRPr="00FA5E9F">
              <w:rPr>
                <w:b/>
              </w:rPr>
              <w:t>Topics</w:t>
            </w:r>
            <w:r>
              <w:rPr>
                <w:b/>
              </w:rPr>
              <w:t xml:space="preserve"> &amp; Related Problem Choices</w:t>
            </w:r>
          </w:p>
        </w:tc>
        <w:tc>
          <w:tcPr>
            <w:tcW w:w="9720" w:type="dxa"/>
          </w:tcPr>
          <w:p w:rsidR="008B70BD" w:rsidRPr="00FA5E9F" w:rsidRDefault="008B70BD" w:rsidP="004162AD">
            <w:pPr>
              <w:spacing w:after="0" w:line="240" w:lineRule="auto"/>
              <w:rPr>
                <w:b/>
              </w:rPr>
            </w:pPr>
            <w:r>
              <w:rPr>
                <w:b/>
              </w:rPr>
              <w:t xml:space="preserve">Reading  </w:t>
            </w:r>
            <w:r w:rsidRPr="00FA5E9F">
              <w:rPr>
                <w:b/>
              </w:rPr>
              <w:t>Assignments</w:t>
            </w:r>
          </w:p>
        </w:tc>
      </w:tr>
      <w:tr w:rsidR="008B70BD" w:rsidTr="0045599F">
        <w:trPr>
          <w:trHeight w:val="2483"/>
        </w:trPr>
        <w:tc>
          <w:tcPr>
            <w:tcW w:w="4365" w:type="dxa"/>
          </w:tcPr>
          <w:p w:rsidR="008B70BD" w:rsidRPr="00F43EC2" w:rsidRDefault="008B70BD" w:rsidP="00CD2A05">
            <w:pPr>
              <w:spacing w:after="80"/>
              <w:rPr>
                <w:b/>
              </w:rPr>
            </w:pPr>
            <w:r w:rsidRPr="00F43EC2">
              <w:rPr>
                <w:b/>
              </w:rPr>
              <w:t>Stress, Emotions</w:t>
            </w:r>
          </w:p>
          <w:p w:rsidR="008B70BD" w:rsidRDefault="008B70BD" w:rsidP="00F43EC2">
            <w:pPr>
              <w:pStyle w:val="ListParagraph"/>
              <w:numPr>
                <w:ilvl w:val="0"/>
                <w:numId w:val="5"/>
              </w:numPr>
              <w:spacing w:after="80"/>
            </w:pPr>
            <w:r>
              <w:t>Struggling to Handle Emotions</w:t>
            </w:r>
          </w:p>
          <w:p w:rsidR="008B70BD" w:rsidRDefault="008B70BD" w:rsidP="00F43EC2">
            <w:pPr>
              <w:pStyle w:val="ListParagraph"/>
              <w:numPr>
                <w:ilvl w:val="0"/>
                <w:numId w:val="5"/>
              </w:numPr>
              <w:spacing w:after="80"/>
            </w:pPr>
            <w:r>
              <w:t>Struggling with Stress or Time Management</w:t>
            </w:r>
          </w:p>
          <w:p w:rsidR="008B70BD" w:rsidRDefault="008B70BD" w:rsidP="00F43EC2">
            <w:pPr>
              <w:pStyle w:val="ListParagraph"/>
              <w:numPr>
                <w:ilvl w:val="0"/>
                <w:numId w:val="5"/>
              </w:numPr>
              <w:spacing w:after="80"/>
            </w:pPr>
            <w:r>
              <w:t>Struggling with Self-image</w:t>
            </w:r>
          </w:p>
          <w:p w:rsidR="008B70BD" w:rsidRDefault="008B70BD" w:rsidP="00F43EC2">
            <w:pPr>
              <w:pStyle w:val="ListParagraph"/>
              <w:numPr>
                <w:ilvl w:val="0"/>
                <w:numId w:val="5"/>
              </w:numPr>
              <w:spacing w:after="80"/>
            </w:pPr>
            <w:r>
              <w:t xml:space="preserve">Struggling with Anger, Fear, Grief and Loss, or Guilt (pick one) </w:t>
            </w:r>
          </w:p>
        </w:tc>
        <w:tc>
          <w:tcPr>
            <w:tcW w:w="9720" w:type="dxa"/>
          </w:tcPr>
          <w:p w:rsidR="008B70BD" w:rsidRDefault="008B70BD" w:rsidP="00CD2A05">
            <w:pPr>
              <w:spacing w:after="80"/>
            </w:pPr>
            <w:r w:rsidRPr="00FA5E9F">
              <w:t xml:space="preserve">Glencoe:  </w:t>
            </w:r>
            <w:r w:rsidRPr="00FA5E9F">
              <w:rPr>
                <w:i/>
              </w:rPr>
              <w:t>A Guide to Health</w:t>
            </w:r>
            <w:r>
              <w:t>, from chapters 8 &amp; 9</w:t>
            </w:r>
          </w:p>
          <w:p w:rsidR="008B70BD" w:rsidRPr="00DA6209" w:rsidRDefault="008B70BD" w:rsidP="00DA6209">
            <w:pPr>
              <w:spacing w:after="80"/>
            </w:pPr>
            <w:proofErr w:type="spellStart"/>
            <w:r w:rsidRPr="00DA6209">
              <w:t>Lunai</w:t>
            </w:r>
            <w:proofErr w:type="spellEnd"/>
            <w:r w:rsidRPr="00DA6209">
              <w:t xml:space="preserve"> (2011) “Teenagers Wired to Take Risks.”</w:t>
            </w:r>
          </w:p>
          <w:p w:rsidR="0045599F" w:rsidRDefault="0045599F" w:rsidP="0045599F">
            <w:pPr>
              <w:spacing w:after="80"/>
            </w:pPr>
            <w:r>
              <w:t>Kaminski (2015) “Help! I Can’t Put Down My Phone”  [stress &amp; time management]</w:t>
            </w:r>
          </w:p>
          <w:p w:rsidR="0045599F" w:rsidRDefault="0045599F" w:rsidP="0045599F">
            <w:pPr>
              <w:spacing w:after="80"/>
            </w:pPr>
            <w:r>
              <w:t xml:space="preserve">Weintraub (2015) </w:t>
            </w:r>
            <w:r w:rsidRPr="00A2567C">
              <w:t>"The Voice of Reason</w:t>
            </w:r>
            <w:r>
              <w:t>” [self-image, confidence, worry, relationships]</w:t>
            </w:r>
          </w:p>
          <w:p w:rsidR="0045599F" w:rsidRDefault="0045599F" w:rsidP="0045599F">
            <w:pPr>
              <w:spacing w:after="80"/>
            </w:pPr>
            <w:proofErr w:type="spellStart"/>
            <w:r>
              <w:t>Kear</w:t>
            </w:r>
            <w:proofErr w:type="spellEnd"/>
            <w:r>
              <w:t xml:space="preserve"> (2014) </w:t>
            </w:r>
            <w:r w:rsidRPr="00C65DFB">
              <w:t>"Beat The Clock" </w:t>
            </w:r>
            <w:r>
              <w:t>[time management]</w:t>
            </w:r>
          </w:p>
          <w:p w:rsidR="0045599F" w:rsidRDefault="0045599F" w:rsidP="0045599F">
            <w:pPr>
              <w:spacing w:after="80"/>
            </w:pPr>
            <w:proofErr w:type="spellStart"/>
            <w:r>
              <w:t>Sparke</w:t>
            </w:r>
            <w:proofErr w:type="spellEnd"/>
            <w:r>
              <w:t xml:space="preserve"> (2014) “Teen Blues” [handling emotions &amp; stress]</w:t>
            </w:r>
          </w:p>
          <w:p w:rsidR="0045599F" w:rsidRDefault="0045599F" w:rsidP="0045599F">
            <w:pPr>
              <w:spacing w:after="80"/>
            </w:pPr>
            <w:r>
              <w:t>Foster (2013) “Best Daze of Your Life” [stress &amp; time management]</w:t>
            </w:r>
          </w:p>
          <w:p w:rsidR="008B70BD" w:rsidRDefault="0045599F" w:rsidP="0045599F">
            <w:pPr>
              <w:spacing w:after="80"/>
            </w:pPr>
            <w:r w:rsidRPr="00485DFC">
              <w:t>"Managing Stress In Teens And A</w:t>
            </w:r>
            <w:r>
              <w:t>dolescents</w:t>
            </w:r>
            <w:r w:rsidRPr="00485DFC">
              <w:t>" </w:t>
            </w:r>
            <w:r>
              <w:t xml:space="preserve"> (2014)</w:t>
            </w:r>
          </w:p>
        </w:tc>
      </w:tr>
      <w:tr w:rsidR="008B70BD" w:rsidTr="0045599F">
        <w:trPr>
          <w:trHeight w:val="2691"/>
        </w:trPr>
        <w:tc>
          <w:tcPr>
            <w:tcW w:w="4365" w:type="dxa"/>
          </w:tcPr>
          <w:p w:rsidR="008B70BD" w:rsidRDefault="008B70BD" w:rsidP="00CD2A05">
            <w:pPr>
              <w:spacing w:after="80"/>
              <w:rPr>
                <w:b/>
              </w:rPr>
            </w:pPr>
            <w:r w:rsidRPr="00F43EC2">
              <w:rPr>
                <w:b/>
              </w:rPr>
              <w:t>Mental  &amp; Emotional Problems</w:t>
            </w:r>
            <w:r>
              <w:rPr>
                <w:b/>
              </w:rPr>
              <w:t xml:space="preserve"> </w:t>
            </w:r>
          </w:p>
          <w:p w:rsidR="008B70BD" w:rsidRDefault="008B70BD" w:rsidP="004162AD">
            <w:pPr>
              <w:pStyle w:val="ListParagraph"/>
              <w:numPr>
                <w:ilvl w:val="0"/>
                <w:numId w:val="6"/>
              </w:numPr>
              <w:spacing w:after="80"/>
            </w:pPr>
            <w:r w:rsidRPr="00F43EC2">
              <w:t>Struggling to Understand or Get Help with Types of Mental Problems</w:t>
            </w:r>
          </w:p>
          <w:p w:rsidR="008B70BD" w:rsidRDefault="008B70BD" w:rsidP="004162AD">
            <w:pPr>
              <w:pStyle w:val="ListParagraph"/>
              <w:numPr>
                <w:ilvl w:val="0"/>
                <w:numId w:val="6"/>
              </w:numPr>
              <w:spacing w:after="80"/>
            </w:pPr>
            <w:r>
              <w:t xml:space="preserve">Struggling with Peer Pressure </w:t>
            </w:r>
          </w:p>
          <w:p w:rsidR="008B70BD" w:rsidRDefault="008B70BD" w:rsidP="004162AD">
            <w:pPr>
              <w:pStyle w:val="ListParagraph"/>
              <w:numPr>
                <w:ilvl w:val="0"/>
                <w:numId w:val="6"/>
              </w:numPr>
              <w:spacing w:after="80"/>
            </w:pPr>
            <w:r>
              <w:t xml:space="preserve">Struggling with Bullies or Cyberbullies </w:t>
            </w:r>
          </w:p>
          <w:p w:rsidR="008B70BD" w:rsidRDefault="008B70BD" w:rsidP="004162AD">
            <w:pPr>
              <w:pStyle w:val="ListParagraph"/>
              <w:numPr>
                <w:ilvl w:val="0"/>
                <w:numId w:val="6"/>
              </w:numPr>
              <w:spacing w:after="80"/>
            </w:pPr>
            <w:r>
              <w:t>Struggling with Suicide or Sadness</w:t>
            </w:r>
          </w:p>
          <w:p w:rsidR="008B70BD" w:rsidRPr="00F43EC2" w:rsidRDefault="008B70BD" w:rsidP="004162AD">
            <w:pPr>
              <w:pStyle w:val="ListParagraph"/>
              <w:numPr>
                <w:ilvl w:val="0"/>
                <w:numId w:val="6"/>
              </w:numPr>
              <w:spacing w:after="80"/>
            </w:pPr>
            <w:r>
              <w:t>Struggling with Effective Communication in Relationships</w:t>
            </w:r>
          </w:p>
          <w:p w:rsidR="008B70BD" w:rsidRPr="00F43EC2" w:rsidRDefault="008B70BD" w:rsidP="00CD2A05">
            <w:pPr>
              <w:spacing w:after="80"/>
              <w:rPr>
                <w:b/>
              </w:rPr>
            </w:pPr>
          </w:p>
        </w:tc>
        <w:tc>
          <w:tcPr>
            <w:tcW w:w="9720" w:type="dxa"/>
          </w:tcPr>
          <w:p w:rsidR="008B70BD" w:rsidRDefault="008B70BD" w:rsidP="00CD2A05">
            <w:pPr>
              <w:spacing w:after="80"/>
            </w:pPr>
            <w:r>
              <w:t xml:space="preserve">Glencoe: </w:t>
            </w:r>
            <w:r>
              <w:rPr>
                <w:i/>
              </w:rPr>
              <w:t xml:space="preserve">A Guide to Health, </w:t>
            </w:r>
            <w:r w:rsidR="00B85586">
              <w:t xml:space="preserve"> from chapters 10 -</w:t>
            </w:r>
            <w:r>
              <w:t xml:space="preserve"> 13</w:t>
            </w:r>
          </w:p>
          <w:p w:rsidR="008B70BD" w:rsidRPr="00DA6209" w:rsidRDefault="008B70BD" w:rsidP="00DA6209">
            <w:pPr>
              <w:spacing w:after="80"/>
            </w:pPr>
            <w:r w:rsidRPr="00DA6209">
              <w:t>Painter (2010) “Depre</w:t>
            </w:r>
            <w:r w:rsidR="00777CFF">
              <w:t xml:space="preserve">ssion, Not Bullying . . .” </w:t>
            </w:r>
          </w:p>
          <w:p w:rsidR="008B70BD" w:rsidRPr="00DA6209" w:rsidRDefault="008B70BD" w:rsidP="00DA6209">
            <w:pPr>
              <w:spacing w:after="80"/>
            </w:pPr>
            <w:proofErr w:type="spellStart"/>
            <w:r w:rsidRPr="00DA6209">
              <w:t>Sanburn</w:t>
            </w:r>
            <w:proofErr w:type="spellEnd"/>
            <w:r w:rsidRPr="00DA6209">
              <w:t xml:space="preserve"> (</w:t>
            </w:r>
            <w:r w:rsidR="00777CFF">
              <w:t xml:space="preserve">2013) “ A Florida Tragedy” </w:t>
            </w:r>
          </w:p>
          <w:p w:rsidR="008B70BD" w:rsidRPr="00DA6209" w:rsidRDefault="008B70BD" w:rsidP="00DA6209">
            <w:pPr>
              <w:spacing w:after="80"/>
            </w:pPr>
            <w:r w:rsidRPr="00DA6209">
              <w:t xml:space="preserve">Excerpts from Wiseman (2013) “What Boys Want” (BOYS) </w:t>
            </w:r>
          </w:p>
          <w:p w:rsidR="008B70BD" w:rsidRPr="00DA6209" w:rsidRDefault="008B70BD" w:rsidP="00DA6209">
            <w:pPr>
              <w:spacing w:after="80"/>
            </w:pPr>
            <w:r w:rsidRPr="00DA6209">
              <w:t>“Teen Angst Turns Deadly” (2009) (GIRLS)</w:t>
            </w:r>
            <w:r>
              <w:t xml:space="preserve">  AND</w:t>
            </w:r>
          </w:p>
          <w:p w:rsidR="008B70BD" w:rsidRPr="00DA6209" w:rsidRDefault="008B70BD" w:rsidP="00DA6209">
            <w:pPr>
              <w:spacing w:after="80"/>
            </w:pPr>
            <w:proofErr w:type="spellStart"/>
            <w:r w:rsidRPr="00DA6209">
              <w:t>Abbonadanza</w:t>
            </w:r>
            <w:proofErr w:type="spellEnd"/>
            <w:r w:rsidRPr="00DA6209">
              <w:t xml:space="preserve"> (2013) “It Gets Better” (GIRLS)</w:t>
            </w:r>
          </w:p>
          <w:p w:rsidR="008B70BD" w:rsidRPr="00DA6209" w:rsidRDefault="008B70BD" w:rsidP="00CD2A05">
            <w:pPr>
              <w:spacing w:after="80"/>
            </w:pPr>
          </w:p>
        </w:tc>
      </w:tr>
      <w:tr w:rsidR="008B70BD" w:rsidTr="0045599F">
        <w:trPr>
          <w:trHeight w:val="2691"/>
        </w:trPr>
        <w:tc>
          <w:tcPr>
            <w:tcW w:w="4365" w:type="dxa"/>
          </w:tcPr>
          <w:p w:rsidR="008B70BD" w:rsidRDefault="008B70BD" w:rsidP="00CD2A05">
            <w:pPr>
              <w:spacing w:after="80"/>
              <w:rPr>
                <w:b/>
              </w:rPr>
            </w:pPr>
            <w:r w:rsidRPr="004162AD">
              <w:rPr>
                <w:b/>
              </w:rPr>
              <w:t>Resolving Conflicts and Preventing Violence</w:t>
            </w:r>
          </w:p>
          <w:p w:rsidR="008B70BD" w:rsidRDefault="008B70BD" w:rsidP="004162AD">
            <w:pPr>
              <w:pStyle w:val="ListParagraph"/>
              <w:numPr>
                <w:ilvl w:val="0"/>
                <w:numId w:val="7"/>
              </w:numPr>
              <w:spacing w:after="80"/>
            </w:pPr>
            <w:r>
              <w:t>Struggling with Conflicts</w:t>
            </w:r>
          </w:p>
          <w:p w:rsidR="008B70BD" w:rsidRDefault="008B70BD" w:rsidP="004162AD">
            <w:pPr>
              <w:pStyle w:val="ListParagraph"/>
              <w:numPr>
                <w:ilvl w:val="0"/>
                <w:numId w:val="7"/>
              </w:numPr>
              <w:spacing w:after="80"/>
            </w:pPr>
            <w:r>
              <w:t>Struggling with Violence and Crime</w:t>
            </w:r>
          </w:p>
          <w:p w:rsidR="008B70BD" w:rsidRDefault="008B70BD" w:rsidP="004162AD">
            <w:pPr>
              <w:pStyle w:val="ListParagraph"/>
              <w:numPr>
                <w:ilvl w:val="0"/>
                <w:numId w:val="7"/>
              </w:numPr>
              <w:spacing w:after="80"/>
            </w:pPr>
            <w:r>
              <w:t xml:space="preserve">Struggling with Abuse </w:t>
            </w:r>
          </w:p>
          <w:p w:rsidR="008B70BD" w:rsidRPr="004162AD" w:rsidRDefault="008B70BD" w:rsidP="00CD2A05">
            <w:pPr>
              <w:spacing w:after="80"/>
            </w:pPr>
          </w:p>
          <w:p w:rsidR="008B70BD" w:rsidRPr="004162AD" w:rsidRDefault="008B70BD" w:rsidP="00CD2A05">
            <w:pPr>
              <w:spacing w:after="80"/>
            </w:pPr>
          </w:p>
        </w:tc>
        <w:tc>
          <w:tcPr>
            <w:tcW w:w="9720" w:type="dxa"/>
          </w:tcPr>
          <w:p w:rsidR="008B70BD" w:rsidRDefault="008B70BD" w:rsidP="00CD2A05">
            <w:pPr>
              <w:spacing w:after="80"/>
            </w:pPr>
            <w:r>
              <w:t xml:space="preserve">Glencoe: </w:t>
            </w:r>
            <w:r>
              <w:rPr>
                <w:i/>
              </w:rPr>
              <w:t xml:space="preserve"> A Guide to Health</w:t>
            </w:r>
            <w:r>
              <w:t>, from chapter 14</w:t>
            </w:r>
          </w:p>
          <w:p w:rsidR="008B70BD" w:rsidRPr="00DA6209" w:rsidRDefault="008B70BD" w:rsidP="00DA6209">
            <w:pPr>
              <w:spacing w:after="80"/>
            </w:pPr>
            <w:r w:rsidRPr="00DA6209">
              <w:t>“We Need a Resolution” (2008)</w:t>
            </w:r>
          </w:p>
          <w:p w:rsidR="008B70BD" w:rsidRPr="00DA6209" w:rsidRDefault="008B70BD" w:rsidP="00DA6209">
            <w:pPr>
              <w:spacing w:after="80"/>
            </w:pPr>
            <w:r w:rsidRPr="00DA6209">
              <w:t>“Dangerous Liaisons: Dating is Supp</w:t>
            </w:r>
            <w:r w:rsidR="00B5770F">
              <w:t xml:space="preserve">osed to be Fun . . .” (2007) </w:t>
            </w:r>
          </w:p>
          <w:p w:rsidR="008B70BD" w:rsidRPr="00DA6209" w:rsidRDefault="008B70BD" w:rsidP="00DA6209">
            <w:pPr>
              <w:spacing w:after="80"/>
            </w:pPr>
            <w:r w:rsidRPr="00DA6209">
              <w:t>Smalley (2009) “The Draw of Dead Town” &amp; Taylor (2012) “L.A. Parks Gang Up for Kids”</w:t>
            </w:r>
          </w:p>
          <w:p w:rsidR="0045599F" w:rsidRDefault="0045599F" w:rsidP="0045599F">
            <w:pPr>
              <w:spacing w:after="80"/>
            </w:pPr>
            <w:r>
              <w:t>Cobb (2014) “Climate, Culture, and Collaboration” [violence, conflicts, &amp; school safety]</w:t>
            </w:r>
          </w:p>
          <w:p w:rsidR="0045599F" w:rsidRDefault="0045599F" w:rsidP="0045599F">
            <w:pPr>
              <w:spacing w:after="80"/>
            </w:pPr>
            <w:proofErr w:type="spellStart"/>
            <w:r>
              <w:t>Brydolf</w:t>
            </w:r>
            <w:proofErr w:type="spellEnd"/>
            <w:r>
              <w:t xml:space="preserve"> (2011) “Parenting 101” [conflict, gangs, violence, crime]</w:t>
            </w:r>
          </w:p>
          <w:p w:rsidR="008B70BD" w:rsidRPr="00DA6209" w:rsidRDefault="008B70BD" w:rsidP="00CD2A05">
            <w:pPr>
              <w:spacing w:after="80"/>
            </w:pPr>
          </w:p>
        </w:tc>
      </w:tr>
      <w:tr w:rsidR="0045599F" w:rsidTr="0045599F">
        <w:trPr>
          <w:trHeight w:val="1790"/>
        </w:trPr>
        <w:tc>
          <w:tcPr>
            <w:tcW w:w="14085" w:type="dxa"/>
            <w:gridSpan w:val="2"/>
          </w:tcPr>
          <w:p w:rsidR="0045599F" w:rsidRDefault="0045599F" w:rsidP="0045599F">
            <w:pPr>
              <w:spacing w:after="80"/>
              <w:rPr>
                <w:b/>
              </w:rPr>
            </w:pPr>
            <w:r>
              <w:rPr>
                <w:b/>
              </w:rPr>
              <w:lastRenderedPageBreak/>
              <w:t>ARTICLES for use, Multiple Topics:</w:t>
            </w:r>
          </w:p>
          <w:p w:rsidR="0045599F" w:rsidRDefault="0045599F" w:rsidP="0045599F">
            <w:pPr>
              <w:spacing w:after="80"/>
            </w:pPr>
            <w:proofErr w:type="spellStart"/>
            <w:r>
              <w:t>Massari</w:t>
            </w:r>
            <w:proofErr w:type="spellEnd"/>
            <w:r>
              <w:t xml:space="preserve"> (2011) </w:t>
            </w:r>
            <w:r w:rsidRPr="00A2567C">
              <w:t>"Teaching Emotional Intelligence." [bullying, emotions, time management, suicide, conflict, &amp; school safety]</w:t>
            </w:r>
          </w:p>
          <w:p w:rsidR="0045599F" w:rsidRPr="00E01FD7" w:rsidRDefault="0045599F" w:rsidP="0045599F">
            <w:pPr>
              <w:spacing w:after="80"/>
            </w:pPr>
            <w:proofErr w:type="spellStart"/>
            <w:r w:rsidRPr="00E01FD7">
              <w:t>Jander</w:t>
            </w:r>
            <w:proofErr w:type="spellEnd"/>
            <w:r w:rsidRPr="00E01FD7">
              <w:t xml:space="preserve"> (2015) "Dating As If It Were Driver's Ed." [effective communication, dating abuse, violence, challenges of being male or female]</w:t>
            </w:r>
          </w:p>
          <w:p w:rsidR="0045599F" w:rsidRDefault="0045599F" w:rsidP="0045599F">
            <w:pPr>
              <w:suppressAutoHyphens/>
              <w:spacing w:after="120" w:line="240" w:lineRule="auto"/>
              <w:contextualSpacing/>
              <w:outlineLvl w:val="0"/>
              <w:rPr>
                <w:rFonts w:ascii="Gill Sans MT" w:eastAsia="Times New Roman" w:hAnsi="Gill Sans MT" w:cs="Times New Roman"/>
                <w:b/>
                <w:bCs/>
                <w:color w:val="9B2D1F"/>
                <w:kern w:val="1"/>
                <w:sz w:val="32"/>
                <w:szCs w:val="32"/>
                <w:lang w:eastAsia="ar-SA"/>
              </w:rPr>
            </w:pPr>
            <w:r>
              <w:t xml:space="preserve">Riordan (2014) </w:t>
            </w:r>
            <w:r w:rsidRPr="00C65DFB">
              <w:t>"Making School Safe." </w:t>
            </w:r>
            <w:r>
              <w:t xml:space="preserve"> [school violence, bullying]</w:t>
            </w:r>
          </w:p>
          <w:p w:rsidR="0045599F" w:rsidRDefault="0045599F" w:rsidP="00CD2A05">
            <w:pPr>
              <w:spacing w:after="80"/>
            </w:pPr>
          </w:p>
        </w:tc>
      </w:tr>
    </w:tbl>
    <w:p w:rsidR="0023355F" w:rsidRDefault="0023355F" w:rsidP="00984A27">
      <w:pPr>
        <w:suppressAutoHyphens/>
        <w:spacing w:after="120" w:line="240" w:lineRule="auto"/>
        <w:contextualSpacing/>
        <w:jc w:val="center"/>
        <w:outlineLvl w:val="0"/>
        <w:rPr>
          <w:rFonts w:ascii="Gill Sans MT" w:eastAsia="Times New Roman" w:hAnsi="Gill Sans MT" w:cs="Times New Roman"/>
          <w:b/>
          <w:bCs/>
          <w:color w:val="9B2D1F"/>
          <w:kern w:val="1"/>
          <w:sz w:val="32"/>
          <w:szCs w:val="32"/>
          <w:lang w:eastAsia="ar-SA"/>
        </w:rPr>
      </w:pPr>
    </w:p>
    <w:p w:rsidR="003E2D40" w:rsidRDefault="003E2D40" w:rsidP="00984A27">
      <w:pPr>
        <w:suppressAutoHyphens/>
        <w:spacing w:after="120" w:line="240" w:lineRule="auto"/>
        <w:contextualSpacing/>
        <w:jc w:val="center"/>
        <w:outlineLvl w:val="0"/>
        <w:rPr>
          <w:rFonts w:ascii="Gill Sans MT" w:eastAsia="Times New Roman" w:hAnsi="Gill Sans MT" w:cs="Times New Roman"/>
          <w:b/>
          <w:bCs/>
          <w:color w:val="9B2D1F"/>
          <w:kern w:val="1"/>
          <w:sz w:val="32"/>
          <w:szCs w:val="32"/>
          <w:lang w:eastAsia="ar-SA"/>
        </w:rPr>
      </w:pPr>
    </w:p>
    <w:p w:rsidR="003C0F81" w:rsidRDefault="003C0F81" w:rsidP="003C0F81">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Grading Information for Health Emotional Unit Brochure</w:t>
      </w:r>
    </w:p>
    <w:p w:rsidR="003C0F81" w:rsidRDefault="003C0F81" w:rsidP="003C0F81">
      <w:pPr>
        <w:autoSpaceDE w:val="0"/>
        <w:autoSpaceDN w:val="0"/>
        <w:adjustRightInd w:val="0"/>
        <w:spacing w:after="0" w:line="240" w:lineRule="auto"/>
        <w:rPr>
          <w:rFonts w:ascii="Calibri" w:hAnsi="Calibri" w:cs="Calibri"/>
          <w:b/>
          <w:bCs/>
          <w:color w:val="000000"/>
          <w:sz w:val="24"/>
          <w:szCs w:val="24"/>
        </w:rPr>
      </w:pPr>
    </w:p>
    <w:p w:rsidR="003C0F81" w:rsidRPr="00A15FE2" w:rsidRDefault="003C0F81" w:rsidP="00A15FE2">
      <w:pPr>
        <w:autoSpaceDE w:val="0"/>
        <w:autoSpaceDN w:val="0"/>
        <w:adjustRightInd w:val="0"/>
        <w:spacing w:after="0" w:line="240" w:lineRule="auto"/>
        <w:rPr>
          <w:rFonts w:ascii="Times New Roman" w:hAnsi="Times New Roman" w:cs="Times New Roman"/>
          <w:color w:val="000000"/>
          <w:sz w:val="24"/>
          <w:szCs w:val="24"/>
        </w:rPr>
      </w:pPr>
      <w:r>
        <w:rPr>
          <w:rFonts w:ascii="Calibri" w:hAnsi="Calibri" w:cs="Calibri"/>
          <w:color w:val="000000"/>
          <w:sz w:val="24"/>
          <w:szCs w:val="24"/>
        </w:rPr>
        <w:t>95-100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15FE2">
        <w:rPr>
          <w:rFonts w:ascii="Calibri" w:hAnsi="Calibri" w:cs="Calibri"/>
          <w:color w:val="000000"/>
          <w:sz w:val="24"/>
          <w:szCs w:val="24"/>
        </w:rPr>
        <w:t>Students have more than met the expectations below. They have showcased the requirements in an interesting and pleasing way.</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Sources—all three cited in Works Cited section of brochure, including Health textbook, one article from supplemental class readings, and one other source, probably a website, of the student’s choice.</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Calibri" w:hAnsi="Calibri" w:cs="Calibri"/>
          <w:color w:val="000000"/>
          <w:sz w:val="24"/>
          <w:szCs w:val="24"/>
        </w:rPr>
        <w:t>Each</w:t>
      </w:r>
      <w:proofErr w:type="gramEnd"/>
      <w:r>
        <w:rPr>
          <w:rFonts w:ascii="Calibri" w:hAnsi="Calibri" w:cs="Calibri"/>
          <w:color w:val="000000"/>
          <w:sz w:val="24"/>
          <w:szCs w:val="24"/>
        </w:rPr>
        <w:t xml:space="preserve"> of the three sources has been paraphrased, quoted, or summarized at least once in the paragraphs, and those places have been marked or indicated to use the source material avoiding plagiarism (copy and paste).</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 xml:space="preserve">Quoted material has appropriate punctuation marks, and A+ </w:t>
      </w:r>
      <w:proofErr w:type="gramStart"/>
      <w:r>
        <w:rPr>
          <w:rFonts w:ascii="Calibri" w:hAnsi="Calibri" w:cs="Calibri"/>
          <w:color w:val="000000"/>
          <w:sz w:val="24"/>
          <w:szCs w:val="24"/>
        </w:rPr>
        <w:t>brochures</w:t>
      </w:r>
      <w:proofErr w:type="gramEnd"/>
      <w:r>
        <w:rPr>
          <w:rFonts w:ascii="Calibri" w:hAnsi="Calibri" w:cs="Calibri"/>
          <w:color w:val="000000"/>
          <w:sz w:val="24"/>
          <w:szCs w:val="24"/>
        </w:rPr>
        <w:t xml:space="preserve"> should also include parenthetical or in-text citations. </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A logical division between well-explained problem sections and solution sections of the brochure is indicated = Organization &amp; Development.</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Purpose, content understanding, and focus are clear.</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Very few, if any, distracting errors in the conventions of English usage and mechanics.</w:t>
      </w:r>
      <w:proofErr w:type="gramEnd"/>
    </w:p>
    <w:p w:rsidR="003C0F81" w:rsidRDefault="003C0F81" w:rsidP="003C0F8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90-94</w:t>
      </w:r>
      <w:r>
        <w:rPr>
          <w:rFonts w:ascii="Calibri" w:hAnsi="Calibri" w:cs="Calibri"/>
          <w:color w:val="000000"/>
          <w:sz w:val="24"/>
          <w:szCs w:val="24"/>
        </w:rPr>
        <w:tab/>
      </w:r>
      <w:r>
        <w:rPr>
          <w:rFonts w:ascii="Calibri" w:hAnsi="Calibri" w:cs="Calibri"/>
          <w:color w:val="000000"/>
          <w:sz w:val="24"/>
          <w:szCs w:val="24"/>
        </w:rPr>
        <w:tab/>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Students have met all of the above expectations with only slight imperfections or slightly less thoroughly than the most advanced efforts.</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85-89</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Students have satisfactorily met all of the above expectations but have some small areas that could benefit from additional detail and thoroughness.</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80-84</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Students have met expectations but more parts of the brochure could use revision, editing, or the addition of more convincing and convincing information</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74-79</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Students have met most of the expectations above, but one key aspect may only be partially addressed or developed.</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70-73</w:t>
      </w:r>
    </w:p>
    <w:p w:rsidR="003C0F81" w:rsidRDefault="003C0F81" w:rsidP="003C0F81">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Calibri" w:hAnsi="Calibri" w:cs="Calibri"/>
          <w:color w:val="000000"/>
          <w:sz w:val="24"/>
          <w:szCs w:val="24"/>
        </w:rPr>
        <w:t>While</w:t>
      </w:r>
      <w:proofErr w:type="gramEnd"/>
      <w:r>
        <w:rPr>
          <w:rFonts w:ascii="Calibri" w:hAnsi="Calibri" w:cs="Calibri"/>
          <w:color w:val="000000"/>
          <w:sz w:val="24"/>
          <w:szCs w:val="24"/>
        </w:rPr>
        <w:t xml:space="preserve"> students have met some expectations, more than one aspect may be missing or underdeveloped.</w:t>
      </w:r>
    </w:p>
    <w:p w:rsidR="003C0F81" w:rsidRDefault="003C0F81" w:rsidP="003C0F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69 or below</w:t>
      </w:r>
    </w:p>
    <w:p w:rsidR="003C0F81" w:rsidRPr="0045599F" w:rsidRDefault="003C0F81" w:rsidP="0045599F">
      <w:pPr>
        <w:autoSpaceDE w:val="0"/>
        <w:autoSpaceDN w:val="0"/>
        <w:adjustRightInd w:val="0"/>
        <w:spacing w:after="0" w:line="240" w:lineRule="auto"/>
        <w:ind w:left="720" w:hanging="360"/>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Calibri" w:hAnsi="Calibri" w:cs="Calibri"/>
          <w:color w:val="000000"/>
          <w:sz w:val="24"/>
          <w:szCs w:val="24"/>
        </w:rPr>
        <w:t>Students have attempted to meet the expectations above, but multiple aspects are missing or undeveloped.</w:t>
      </w:r>
    </w:p>
    <w:sectPr w:rsidR="003C0F81" w:rsidRPr="0045599F" w:rsidSect="00BC46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A7B"/>
    <w:multiLevelType w:val="hybridMultilevel"/>
    <w:tmpl w:val="AEF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D7895"/>
    <w:multiLevelType w:val="hybridMultilevel"/>
    <w:tmpl w:val="608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88E"/>
    <w:multiLevelType w:val="hybridMultilevel"/>
    <w:tmpl w:val="FDE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45A9A"/>
    <w:multiLevelType w:val="hybridMultilevel"/>
    <w:tmpl w:val="78F027E0"/>
    <w:lvl w:ilvl="0" w:tplc="F0360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B177C9"/>
    <w:multiLevelType w:val="hybridMultilevel"/>
    <w:tmpl w:val="4B78B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8E7728"/>
    <w:multiLevelType w:val="hybridMultilevel"/>
    <w:tmpl w:val="0EBE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11E83"/>
    <w:multiLevelType w:val="hybridMultilevel"/>
    <w:tmpl w:val="6BF0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7281A"/>
    <w:multiLevelType w:val="hybridMultilevel"/>
    <w:tmpl w:val="CB7E5FBE"/>
    <w:lvl w:ilvl="0" w:tplc="6A0A9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AB"/>
    <w:rsid w:val="00005D14"/>
    <w:rsid w:val="0023355F"/>
    <w:rsid w:val="00373C69"/>
    <w:rsid w:val="003C0F81"/>
    <w:rsid w:val="003E2D40"/>
    <w:rsid w:val="004162AD"/>
    <w:rsid w:val="0044017D"/>
    <w:rsid w:val="00450B5F"/>
    <w:rsid w:val="0045599F"/>
    <w:rsid w:val="00503CB7"/>
    <w:rsid w:val="00777CFF"/>
    <w:rsid w:val="008B70BD"/>
    <w:rsid w:val="00984A27"/>
    <w:rsid w:val="00A15FE2"/>
    <w:rsid w:val="00B5770F"/>
    <w:rsid w:val="00B85586"/>
    <w:rsid w:val="00BC46AB"/>
    <w:rsid w:val="00CD2A05"/>
    <w:rsid w:val="00DA6209"/>
    <w:rsid w:val="00DF0E41"/>
    <w:rsid w:val="00E04ECC"/>
    <w:rsid w:val="00F37418"/>
    <w:rsid w:val="00F4046F"/>
    <w:rsid w:val="00F43EC2"/>
    <w:rsid w:val="00FA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2</cp:revision>
  <cp:lastPrinted>2014-02-07T16:25:00Z</cp:lastPrinted>
  <dcterms:created xsi:type="dcterms:W3CDTF">2015-10-06T11:59:00Z</dcterms:created>
  <dcterms:modified xsi:type="dcterms:W3CDTF">2015-10-06T11:59:00Z</dcterms:modified>
</cp:coreProperties>
</file>